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2A21F" w14:textId="6AD04AFC" w:rsidR="00DD1FEB" w:rsidRDefault="00DD1FEB" w:rsidP="00DD1FEB">
      <w:pPr>
        <w:tabs>
          <w:tab w:val="num" w:pos="720"/>
        </w:tabs>
        <w:spacing w:before="120" w:after="120"/>
        <w:ind w:left="720" w:hanging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</w:p>
    <w:p w14:paraId="53D9A3CD" w14:textId="77777777" w:rsidR="00DD1FEB" w:rsidRDefault="00DD1FEB" w:rsidP="00DD1FEB">
      <w:pPr>
        <w:tabs>
          <w:tab w:val="num" w:pos="720"/>
        </w:tabs>
        <w:spacing w:before="120" w:after="12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ABEEEDA" w14:textId="5943F609" w:rsidR="007F6E57" w:rsidRPr="00DD1FEB" w:rsidRDefault="007F6E57" w:rsidP="007F6E57">
      <w:pPr>
        <w:tabs>
          <w:tab w:val="num" w:pos="720"/>
        </w:tabs>
        <w:spacing w:before="120" w:after="12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FEB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65DD5B3" w14:textId="77777777" w:rsidR="007F6E57" w:rsidRPr="007F6E57" w:rsidRDefault="007F6E57" w:rsidP="007F6E57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Przedmiotem zamówienia jest opracowanie dokumentacji technicznej pt. „Termomodernizacja budynku Szkoły Podstawowej w Sobolewie” polegającego na pracach termomodernizacyjnych m.in.: docieplenie przegród, wymiana stolarki okiennej i drzwiowej, ocieplenie dachu, wymiana centralnego ogrzewania wraz ze źródłem ciepła, budowa instalacji fotowoltaicznej.</w:t>
      </w:r>
    </w:p>
    <w:p w14:paraId="1ECC2B93" w14:textId="737BB6B6" w:rsidR="007F6E57" w:rsidRPr="007F6E57" w:rsidRDefault="007F6E57" w:rsidP="007F6E57">
      <w:pPr>
        <w:pStyle w:val="Akapitzlist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Charakterystyka ogólna budynku </w:t>
      </w:r>
    </w:p>
    <w:p w14:paraId="189D8904" w14:textId="77777777" w:rsidR="007F6E57" w:rsidRPr="007F6E57" w:rsidRDefault="007F6E57" w:rsidP="007F6E57">
      <w:pPr>
        <w:pStyle w:val="Akapitzlist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Budynek usytuowany elewacją fontową (główne wejście do szkoły) od północy. Budynek trzykondygnacyjny (część najwyższa) o wymiarach: </w:t>
      </w:r>
    </w:p>
    <w:p w14:paraId="0E9D3EF2" w14:textId="6CA1DCB9" w:rsidR="007F6E57" w:rsidRPr="007F6E57" w:rsidRDefault="007F6E57" w:rsidP="007F6E5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w najwyższym miejscu – 13,685m </w:t>
      </w:r>
    </w:p>
    <w:p w14:paraId="41847599" w14:textId="4BD99A36" w:rsidR="007F6E57" w:rsidRPr="007F6E57" w:rsidRDefault="007F6E57" w:rsidP="007F6E5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Szerokość budynku – 41,96 m </w:t>
      </w:r>
    </w:p>
    <w:p w14:paraId="0CFF0E6E" w14:textId="77777777" w:rsidR="007F6E57" w:rsidRPr="007F6E57" w:rsidRDefault="007F6E57" w:rsidP="007F6E57">
      <w:pPr>
        <w:pStyle w:val="Akapitzlist"/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Długość budynku – 82,38 m </w:t>
      </w:r>
    </w:p>
    <w:p w14:paraId="3DF42976" w14:textId="468799AA" w:rsidR="007F6E57" w:rsidRPr="007F6E57" w:rsidRDefault="007F6E57" w:rsidP="007F6E57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Budynek zlokalizowany jest przy ul. Kościuszki 17 na działce nr ewid. 2371/4. Przedmiotowy budynek wykonano w technologii tradycyjnej murowanej z cegły pełnej na zaprawie 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cem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wap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Połać dachu pokryta: blachą trapezową o spadkach dachu 2º oraz 16º, blachą płaską na rąbek o pochyleniu połaci 9,4º, oraz 10,2%. Budynek wyposażony w instalację: wodną, kanalizacyjną i elektryczną. Wykończenie zewnętrzne budynku stanowi tynk 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cem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wap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 wyjątkiem Sali gimnastycznej którą wyprawę elewacyjną stanowi klej na siatce. Kolorystyka budynków jest wyblakła, widoczne jest miejscami zawilgocenie dolnej części budynku. Stolarka okienna w części objętej opracowaniem PCV lub drewniana. Występująca stolarka budowalna drewniana w złym stanie technicznym do wymiany. Schody zewnętrzne do Sali gimnastycznej z gresu z ubytkami i brakiem przyczepności części płytek do demontażu. Miejscami opaska wokół budynku z wylewki cementowej w pozostałej części z kostki betonowej. </w:t>
      </w:r>
      <w:r w:rsidRPr="007F6E57">
        <w:rPr>
          <w:rFonts w:ascii="Times New Roman" w:hAnsi="Times New Roman" w:cs="Times New Roman"/>
          <w:color w:val="000000"/>
          <w:sz w:val="24"/>
          <w:szCs w:val="24"/>
        </w:rPr>
        <w:t xml:space="preserve">W stanie istniejącym źródłem ciepła dla budynku szkoły są dwa kotły gazowe o mocy 115 oraz 140 </w:t>
      </w:r>
      <w:proofErr w:type="spellStart"/>
      <w:r w:rsidRPr="007F6E57">
        <w:rPr>
          <w:rFonts w:ascii="Times New Roman" w:hAnsi="Times New Roman" w:cs="Times New Roman"/>
          <w:color w:val="000000"/>
          <w:sz w:val="24"/>
          <w:szCs w:val="24"/>
        </w:rPr>
        <w:t>kW.</w:t>
      </w:r>
      <w:proofErr w:type="spellEnd"/>
      <w:r w:rsidRPr="007F6E57">
        <w:rPr>
          <w:rFonts w:ascii="Times New Roman" w:hAnsi="Times New Roman" w:cs="Times New Roman"/>
          <w:color w:val="000000"/>
          <w:sz w:val="24"/>
          <w:szCs w:val="24"/>
        </w:rPr>
        <w:t xml:space="preserve"> Kotły zlokalizowane są w kotłowni znajdującej się w starszej części budynku. Kotły pracują na potrzeby ogrzewania (starszej i nowszej części szkoły) i częściowo ciepłej wody użytkowej (dla starszej części szkoły). Ciepła woda na potrzeby starszej części budynku magazynowana jest w podgrzewaczu c.w.u. o pojemności 300 l (znajdującym się w kotłowni). Ciepła woda na potrzeby nowszej części przygotowywana jest poprzez pojemnościowy podgrzewacz elektryczny (dla łazienek) oraz poprzez miejscowe podgrzewacze elektryczne. W budynku w nowszej części oraz w sali sportowej występują grzejniki stalowe płytowe. W starszej części występują grzejniki żeliwne. Grzejniki bez regulacji miejscowej.</w:t>
      </w:r>
    </w:p>
    <w:p w14:paraId="6067E4FC" w14:textId="77777777" w:rsidR="007F6E57" w:rsidRPr="007F6E57" w:rsidRDefault="007F6E57" w:rsidP="007F6E5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646FB" w14:textId="77777777" w:rsidR="007F6E57" w:rsidRPr="007F6E57" w:rsidRDefault="007F6E57" w:rsidP="007F6E57">
      <w:pPr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 zamówienia obejmuje</w:t>
      </w:r>
      <w:r w:rsidRPr="007F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Dokumentację Techniczną, składającą się </w:t>
      </w:r>
      <w:r w:rsidRPr="007F6E57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następujących dokumentów:</w:t>
      </w:r>
    </w:p>
    <w:p w14:paraId="0DFDE207" w14:textId="00CB4F72" w:rsidR="007F6E57" w:rsidRPr="007F6E57" w:rsidRDefault="007F6E57" w:rsidP="007F6E57">
      <w:pPr>
        <w:pStyle w:val="Akapitzlist"/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Audyt energetyczny (opracowane zgodnie z Rozporządzeniem Ministra Infrastruktury z dnia 17 marca 2009 r. w sprawie szczegółowego zakresu i form audytu energetycznego oraz części audytu ramowego, wzorów kart audytów, </w:t>
      </w: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także algorytmu oceny opłacalności przedsięwzięcia termo modernizacyjnego, Dz. U. 2009 Nr 43 poz. 346, oraz Rozporządzeniem Ministra Infrastruktury</w:t>
      </w:r>
      <w:r w:rsidR="004D1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Rozwoju z dnia 3 września 2015 r. zmieniającego </w:t>
      </w: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rozporządzenie w sprawie szczegółowego zakresu i form audytu energetycznego oraz części audytu remontowego, wzorów kart audytów, a także algorytmu oceny opłacalności przedsięwzięcia termomodernizacyjnego, Dz. U. 2015 poz. 1606).</w:t>
      </w:r>
    </w:p>
    <w:p w14:paraId="5FD4EE06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Audyt efektywności energetycznej instalacji fotowoltaicznej i oświetlenia LED (opracowany zgodne z Rozporządzeniem Ministra Energii z dnia 5 października 2017 r. w sprawie szczegółowego zakresu i sposobu sporządzania audytu efektywności energetycznej oraz metod obliczania oszczędności energii (Dz. U. 2017 poz. 1912) oraz Ustawą z dnia 20 maja 2016 r. o efektywności energetycznej)</w:t>
      </w:r>
    </w:p>
    <w:p w14:paraId="06BC40F6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Projekty budowlano-wykonawcze (opracowane zgodnie z Rozporządzeniem Ministra Transportu, Budownictwa I Gospodarki Morskiej z dnia 25 kwietnia 2012 r. w sprawie szczegółowego zakresu i formy projektu budowlanego, Dz. U. 2012 poz. 462, Rozporządzeniem Ministra Transportu, Budownictwa i Gospodarki Morskiej z dnia 21 czerwca 2013 r. zmieniającym rozporządzenie w sprawie szczegółowego zakresu i formy projektu budowlanego, Dz. U. 2013 poz. 762, Rozporządzeniem Ministra Infrastruktury i Rozwoju z dnia 22 września 2015 r. zmieniającym rozporządzenie w sprawie szczegółowego zakresu i formy projektu budowlanego, Dz. U. 2015 poz. 1554).</w:t>
      </w:r>
    </w:p>
    <w:p w14:paraId="7F14DC9A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Specyfikacje techniczne wykonania i odbioru robót budowlanych (opracowane zgodnie z Rozporządzeniem Ministra Infrastruktury z dnia 02 września 2004 r. w sprawie szczegółowego zakresu i formy dokumentacji projektowej, specyfikacji technicznych wykonania i odbioru robót budowlanych oraz programu funkcjonalno-użytkowego, 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2013 poz. 1129).</w:t>
      </w:r>
    </w:p>
    <w:p w14:paraId="5E600BD6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Przedmiary robót (opracowane zgodnie z Rozporządzeniem Ministra Infrastruktury z dnia 02 września 2004 r. w sprawie szczegółowego zakresu i formy dokumentacji projektowej, specyfikacji technicznych wykonania i odbioru robót budowlanych oraz programu funkcjonalno-użytkowego, 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. Dz. U. 2013 poz. 1129).</w:t>
      </w:r>
    </w:p>
    <w:p w14:paraId="25B2EF61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Kosztorysy inwestorskie (opracowane zgodnie z Rozporządzeniem Ministra Infrastruktury z dnia 18 maja 2004 r. w sprawie określenia metod i podstaw sporządzania kosztorysu inwestorskiego, obliczania planowanych kosztów prac projektowych oraz planowanych kosztów robót budowlanych określonych </w:t>
      </w:r>
      <w:r w:rsidRPr="007F6E57">
        <w:rPr>
          <w:rFonts w:ascii="Times New Roman" w:hAnsi="Times New Roman" w:cs="Times New Roman"/>
          <w:color w:val="000000"/>
          <w:sz w:val="24"/>
          <w:szCs w:val="24"/>
        </w:rPr>
        <w:br/>
        <w:t>w programie funkcjonalno-użytkowym, Dz. U. 2004 poz. 1389), jak również katalogiem kosztów kwalifikowalnych i niekwalifikowalnych dla Działania 4.2 Regionalnego Programu Operacyjnego Województwa Mazowieckiego.</w:t>
      </w:r>
    </w:p>
    <w:p w14:paraId="5C961F86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Obliczenie wskaźników efektywności energetycznej.</w:t>
      </w:r>
    </w:p>
    <w:p w14:paraId="064435DE" w14:textId="77777777" w:rsidR="007F6E57" w:rsidRPr="007F6E57" w:rsidRDefault="007F6E57" w:rsidP="007F6E57">
      <w:pPr>
        <w:numPr>
          <w:ilvl w:val="1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 na pytania do dokumentacji technicznej na etapie oceny wniosku </w:t>
      </w:r>
      <w:r w:rsidRPr="007F6E57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br/>
      </w:r>
      <w:r w:rsidRPr="007F6E57">
        <w:rPr>
          <w:rFonts w:ascii="Times New Roman" w:hAnsi="Times New Roman" w:cs="Times New Roman"/>
          <w:color w:val="000000"/>
          <w:sz w:val="24"/>
          <w:szCs w:val="24"/>
        </w:rPr>
        <w:t>w konkursie – zarówno ocena formalna, jak i merytoryczna.</w:t>
      </w:r>
    </w:p>
    <w:p w14:paraId="58D20245" w14:textId="4850615C" w:rsidR="007F6E57" w:rsidRPr="007F6E57" w:rsidRDefault="007F6E57" w:rsidP="007F6E57">
      <w:pPr>
        <w:pStyle w:val="Akapitzlist"/>
        <w:numPr>
          <w:ilvl w:val="0"/>
          <w:numId w:val="1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Dokumentacja swoim zakresem ma obejmować m.in.:</w:t>
      </w:r>
    </w:p>
    <w:p w14:paraId="7FCE1853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wymiana źródła ciepła na nowe kotły gazowe wraz z dostosowaniem kotłowni, </w:t>
      </w:r>
    </w:p>
    <w:p w14:paraId="4B822D19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wymiana instalacji grzewczej</w:t>
      </w:r>
    </w:p>
    <w:p w14:paraId="16DF1A02" w14:textId="02211DD5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montaż nowego zbiornika c.w.u. wraz z wymianą instalacji c.w.u. oraz zastosowanie oszczędnych baterii czerpalnych</w:t>
      </w:r>
    </w:p>
    <w:p w14:paraId="07F573A1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modernizacja instalacji gazowej</w:t>
      </w:r>
    </w:p>
    <w:p w14:paraId="6E61A41A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ocieplenie ścian zewnętrznych, przy gruncie wraz z cokołem,</w:t>
      </w:r>
    </w:p>
    <w:p w14:paraId="32E177A0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ocieplenie stropu pod nieogrzewanym poddaszem</w:t>
      </w:r>
    </w:p>
    <w:p w14:paraId="0EB70A79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ocieplenie stropodachu nad salą gimnastyczną</w:t>
      </w:r>
    </w:p>
    <w:p w14:paraId="1F19732A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wymiana starej stolarki okiennej drewnianej oraz montaż nawiewników </w:t>
      </w:r>
      <w:proofErr w:type="spellStart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higrosterowalnych</w:t>
      </w:r>
      <w:proofErr w:type="spellEnd"/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oknach</w:t>
      </w:r>
    </w:p>
    <w:p w14:paraId="2E63D65E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wymiana starej stolarki drzwiowej w budynku, wraz z pracami towarzyszącymi.</w:t>
      </w:r>
    </w:p>
    <w:p w14:paraId="4723B242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rozbiórka istniejącego komina wolnostojącego i budowę nowych kominów na elewacji</w:t>
      </w:r>
    </w:p>
    <w:p w14:paraId="3F7A6D36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nowych schodów do Sali sportowej</w:t>
      </w:r>
    </w:p>
    <w:p w14:paraId="56BC8549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projektowanej opaski z kostki</w:t>
      </w:r>
    </w:p>
    <w:p w14:paraId="1952251A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zadaszenia szklanego nad wejściem głównym</w:t>
      </w:r>
    </w:p>
    <w:p w14:paraId="7F661947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przemurowanie kominów wentylacyjnych</w:t>
      </w:r>
    </w:p>
    <w:p w14:paraId="0AE4B9E6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pokrycia dachu</w:t>
      </w:r>
    </w:p>
    <w:p w14:paraId="03BC5ED6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wymiana oświetlenia na LED</w:t>
      </w:r>
    </w:p>
    <w:p w14:paraId="6C8EE6A5" w14:textId="77777777" w:rsidR="007F6E57" w:rsidRPr="007F6E57" w:rsidRDefault="007F6E57" w:rsidP="007F6E57">
      <w:pPr>
        <w:pStyle w:val="Akapitzlist"/>
        <w:numPr>
          <w:ilvl w:val="0"/>
          <w:numId w:val="5"/>
        </w:num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57">
        <w:rPr>
          <w:rFonts w:ascii="Times New Roman" w:eastAsia="Times New Roman" w:hAnsi="Times New Roman" w:cs="Times New Roman"/>
          <w:color w:val="000000"/>
          <w:sz w:val="24"/>
          <w:szCs w:val="24"/>
        </w:rPr>
        <w:t>budowa instalacji PV</w:t>
      </w:r>
    </w:p>
    <w:p w14:paraId="41333CE8" w14:textId="77777777" w:rsidR="007F6E57" w:rsidRPr="007F6E57" w:rsidRDefault="007F6E57" w:rsidP="007F6E57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216376" w14:textId="77777777" w:rsidR="00CC1628" w:rsidRPr="007F6E57" w:rsidRDefault="00CC1628" w:rsidP="007F6E5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CC1628" w:rsidRPr="007F6E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7ECE" w14:textId="77777777" w:rsidR="005017CA" w:rsidRDefault="005017CA" w:rsidP="00DD1FEB">
      <w:r>
        <w:separator/>
      </w:r>
    </w:p>
  </w:endnote>
  <w:endnote w:type="continuationSeparator" w:id="0">
    <w:p w14:paraId="1F32F99A" w14:textId="77777777" w:rsidR="005017CA" w:rsidRDefault="005017CA" w:rsidP="00DD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363401"/>
      <w:docPartObj>
        <w:docPartGallery w:val="Page Numbers (Bottom of Page)"/>
        <w:docPartUnique/>
      </w:docPartObj>
    </w:sdtPr>
    <w:sdtContent>
      <w:p w14:paraId="6A357241" w14:textId="38138051" w:rsidR="00DD1FEB" w:rsidRDefault="00DD1F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B13E" w14:textId="77777777" w:rsidR="00DD1FEB" w:rsidRDefault="00DD1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364F" w14:textId="77777777" w:rsidR="005017CA" w:rsidRDefault="005017CA" w:rsidP="00DD1FEB">
      <w:r>
        <w:separator/>
      </w:r>
    </w:p>
  </w:footnote>
  <w:footnote w:type="continuationSeparator" w:id="0">
    <w:p w14:paraId="7D1864DC" w14:textId="77777777" w:rsidR="005017CA" w:rsidRDefault="005017CA" w:rsidP="00DD1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EAE"/>
    <w:multiLevelType w:val="hybridMultilevel"/>
    <w:tmpl w:val="E63E5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27589"/>
    <w:multiLevelType w:val="hybridMultilevel"/>
    <w:tmpl w:val="DD3A81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16C0F"/>
    <w:multiLevelType w:val="multilevel"/>
    <w:tmpl w:val="9E70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26E36"/>
    <w:multiLevelType w:val="hybridMultilevel"/>
    <w:tmpl w:val="81A07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2801"/>
    <w:multiLevelType w:val="multilevel"/>
    <w:tmpl w:val="DA3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57"/>
    <w:rsid w:val="00054B24"/>
    <w:rsid w:val="004740FF"/>
    <w:rsid w:val="004D12EF"/>
    <w:rsid w:val="005017CA"/>
    <w:rsid w:val="005415B3"/>
    <w:rsid w:val="005A0624"/>
    <w:rsid w:val="007F6E57"/>
    <w:rsid w:val="008D5BD7"/>
    <w:rsid w:val="00AD283C"/>
    <w:rsid w:val="00BD10F0"/>
    <w:rsid w:val="00CC1628"/>
    <w:rsid w:val="00DD1FEB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ADC"/>
  <w15:chartTrackingRefBased/>
  <w15:docId w15:val="{EFD59C72-AD14-47F3-8FB6-F77785B1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5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6E57"/>
  </w:style>
  <w:style w:type="paragraph" w:styleId="Akapitzlist">
    <w:name w:val="List Paragraph"/>
    <w:basedOn w:val="Normalny"/>
    <w:uiPriority w:val="34"/>
    <w:qFormat/>
    <w:rsid w:val="007F6E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FE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FEB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dc:description/>
  <cp:lastModifiedBy>Geodeta</cp:lastModifiedBy>
  <cp:revision>2</cp:revision>
  <dcterms:created xsi:type="dcterms:W3CDTF">2020-07-09T11:50:00Z</dcterms:created>
  <dcterms:modified xsi:type="dcterms:W3CDTF">2020-07-09T11:50:00Z</dcterms:modified>
</cp:coreProperties>
</file>